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4D49D229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F0B2E3F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4FC9AF99" w:rsidR="00210CAD" w:rsidRPr="00023210" w:rsidRDefault="00210CAD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01-ЦП/83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0CCEA1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  <w:r w:rsidR="00AF29CC">
              <w:rPr>
                <w:b/>
                <w:lang w:val="en-US"/>
              </w:rPr>
              <w:t>RO</w:t>
            </w:r>
            <w:r w:rsidR="00AF29CC" w:rsidRPr="00AF29CC">
              <w:rPr>
                <w:b/>
              </w:rPr>
              <w:t>-203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0EDA4DE5" w:rsidR="00DF713C" w:rsidRPr="00092B96" w:rsidRDefault="00AF29CC" w:rsidP="00E73A69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proofErr w:type="spellStart"/>
            <w:r w:rsidR="00B558EC" w:rsidRPr="00C325DB">
              <w:t>др</w:t>
            </w:r>
            <w:proofErr w:type="spellEnd"/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</w:t>
            </w:r>
            <w:proofErr w:type="spellStart"/>
            <w:r w:rsidRPr="00733B61">
              <w:rPr>
                <w:rFonts w:eastAsia="Times New Roman"/>
              </w:rPr>
              <w:t>грязеемкостью</w:t>
            </w:r>
            <w:proofErr w:type="spellEnd"/>
            <w:r w:rsidRPr="00733B61">
              <w:rPr>
                <w:rFonts w:eastAsia="Times New Roman"/>
              </w:rPr>
              <w:t>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 xml:space="preserve">агистральный угольный </w:t>
            </w:r>
            <w:proofErr w:type="spellStart"/>
            <w:r w:rsidRPr="00733B61">
              <w:rPr>
                <w:rFonts w:eastAsia="Times New Roman"/>
              </w:rPr>
              <w:t>постфильтр</w:t>
            </w:r>
            <w:proofErr w:type="spellEnd"/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</w:t>
            </w:r>
            <w:proofErr w:type="spellStart"/>
            <w:r w:rsidR="00B558EC" w:rsidRPr="00C325DB">
              <w:rPr>
                <w:rFonts w:eastAsia="Times New Roman"/>
              </w:rPr>
              <w:t>предфильтраци</w:t>
            </w:r>
            <w:r w:rsidRPr="00C325DB">
              <w:rPr>
                <w:rFonts w:eastAsia="Times New Roman"/>
              </w:rPr>
              <w:t>ю</w:t>
            </w:r>
            <w:proofErr w:type="spellEnd"/>
            <w:r w:rsidRPr="00C325DB">
              <w:rPr>
                <w:rFonts w:eastAsia="Times New Roman"/>
              </w:rPr>
              <w:t>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</w:t>
            </w:r>
            <w:proofErr w:type="spellStart"/>
            <w:r>
              <w:rPr>
                <w:rFonts w:eastAsia="Times New Roman"/>
                <w:color w:val="2C2C2C"/>
              </w:rPr>
              <w:t>б</w:t>
            </w:r>
            <w:r w:rsidR="00C325DB" w:rsidRPr="00C325DB">
              <w:rPr>
                <w:rFonts w:eastAsia="Times New Roman"/>
                <w:color w:val="2C2C2C"/>
              </w:rPr>
              <w:t>акнакопитель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and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Drug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хлорбутиловой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Присоединительные размеры</w:t>
            </w:r>
            <w:r w:rsidRPr="005D5F2B">
              <w:t xml:space="preserve">: </w:t>
            </w:r>
            <w:proofErr w:type="spellStart"/>
            <w:proofErr w:type="gramStart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</w:t>
            </w:r>
            <w:proofErr w:type="spellStart"/>
            <w:proofErr w:type="gram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вых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30F61DEF" w:rsidR="008E07CF" w:rsidRPr="004305D8" w:rsidRDefault="00694140" w:rsidP="00AF29CC">
            <w:r>
              <w:rPr>
                <w:lang w:val="kk-KZ"/>
              </w:rPr>
              <w:t>Не ранее 1 ноября 2021 года и не позднее 15 ноября 2021 год</w:t>
            </w:r>
            <w:r>
              <w:rPr>
                <w:lang w:val="kk-KZ"/>
              </w:rPr>
              <w:t>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6EE134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  <w:r w:rsidRPr="001100F7">
              <w:rPr>
                <w:lang w:eastAsia="en-US"/>
              </w:rPr>
              <w:t xml:space="preserve">, 8Е </w:t>
            </w:r>
          </w:p>
          <w:p w14:paraId="50B7114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</w:p>
          <w:p w14:paraId="1A1EB3C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26E38A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024E96B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1BF9598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7EB6DFA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2DE6DE9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0CF55D3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3C058F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3C6875E4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0E7F8E10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E79B44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2E0712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606C86A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E7675A2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618B8DD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1CD173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4) улица </w:t>
            </w:r>
            <w:proofErr w:type="spellStart"/>
            <w:r w:rsidRPr="001100F7">
              <w:rPr>
                <w:lang w:eastAsia="en-US"/>
              </w:rPr>
              <w:t>Амангелды</w:t>
            </w:r>
            <w:proofErr w:type="spellEnd"/>
            <w:r w:rsidRPr="001100F7">
              <w:rPr>
                <w:lang w:eastAsia="en-US"/>
              </w:rPr>
              <w:t>, 5Г</w:t>
            </w:r>
          </w:p>
          <w:p w14:paraId="740190D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поселок </w:t>
            </w:r>
            <w:proofErr w:type="spellStart"/>
            <w:r w:rsidRPr="001100F7">
              <w:rPr>
                <w:lang w:eastAsia="en-US"/>
              </w:rPr>
              <w:t>Тасбугет</w:t>
            </w:r>
            <w:proofErr w:type="spellEnd"/>
          </w:p>
          <w:p w14:paraId="7B1DA65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3B82967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1BD43F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3899035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6122C96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</w:t>
            </w:r>
            <w:proofErr w:type="spellStart"/>
            <w:r w:rsidRPr="001100F7">
              <w:rPr>
                <w:lang w:eastAsia="en-US"/>
              </w:rPr>
              <w:t>Каныша</w:t>
            </w:r>
            <w:proofErr w:type="spellEnd"/>
            <w:r w:rsidRPr="001100F7">
              <w:rPr>
                <w:lang w:eastAsia="en-US"/>
              </w:rPr>
              <w:t xml:space="preserve"> Сатпаева, 87а </w:t>
            </w:r>
          </w:p>
          <w:p w14:paraId="0E9513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0828D06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20CF7FDF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536944E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08866423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26BC47F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Актау</w:t>
            </w:r>
          </w:p>
          <w:p w14:paraId="2022945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69A2C3B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243B676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15FB848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7) улица </w:t>
            </w:r>
            <w:proofErr w:type="spellStart"/>
            <w:r w:rsidRPr="001100F7">
              <w:rPr>
                <w:lang w:eastAsia="en-US"/>
              </w:rPr>
              <w:t>Жамакаева</w:t>
            </w:r>
            <w:proofErr w:type="spellEnd"/>
            <w:r w:rsidRPr="001100F7">
              <w:rPr>
                <w:lang w:eastAsia="en-US"/>
              </w:rPr>
              <w:t>, 100</w:t>
            </w:r>
          </w:p>
          <w:p w14:paraId="6D19321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7AA4B6B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1C0344A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446DAC5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3E7927C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8) переулок </w:t>
            </w:r>
            <w:proofErr w:type="spellStart"/>
            <w:r w:rsidRPr="001100F7">
              <w:rPr>
                <w:lang w:eastAsia="en-US"/>
              </w:rPr>
              <w:t>Алтынсарина</w:t>
            </w:r>
            <w:proofErr w:type="spellEnd"/>
            <w:r w:rsidRPr="001100F7">
              <w:rPr>
                <w:lang w:eastAsia="en-US"/>
              </w:rPr>
              <w:t>, 1</w:t>
            </w:r>
          </w:p>
          <w:p w14:paraId="48F7AA2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Толеби</w:t>
            </w:r>
            <w:proofErr w:type="spellEnd"/>
            <w:r w:rsidRPr="001100F7">
              <w:rPr>
                <w:lang w:eastAsia="en-US"/>
              </w:rPr>
              <w:t xml:space="preserve">, </w:t>
            </w:r>
          </w:p>
          <w:p w14:paraId="6048529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196622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114105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AF29CC" w:rsidRPr="004305D8" w:rsidRDefault="00AF29CC" w:rsidP="00AF29CC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52A08"/>
    <w:rsid w:val="001D4193"/>
    <w:rsid w:val="001F6B00"/>
    <w:rsid w:val="00210CAD"/>
    <w:rsid w:val="002224BE"/>
    <w:rsid w:val="00294BF1"/>
    <w:rsid w:val="002C355F"/>
    <w:rsid w:val="003255AF"/>
    <w:rsid w:val="004305D8"/>
    <w:rsid w:val="004327AD"/>
    <w:rsid w:val="0046180F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907E01"/>
    <w:rsid w:val="009155CE"/>
    <w:rsid w:val="00936936"/>
    <w:rsid w:val="00976CC0"/>
    <w:rsid w:val="009844DB"/>
    <w:rsid w:val="009E3B95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dcterms:created xsi:type="dcterms:W3CDTF">2021-06-22T05:25:00Z</dcterms:created>
  <dcterms:modified xsi:type="dcterms:W3CDTF">2021-06-22T05:25:00Z</dcterms:modified>
</cp:coreProperties>
</file>