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2/ЦП-28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Ресепшен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Комплект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right="3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Ресепшен должен быть предоставлен в соответствии с утвержденным дизайном интерьера центра. 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Фасады ресепшена должны быть изготовлены из двух видов МДФ – текстурного и матового, в комплект также должны входить распашная секция, столешница с полками, и скрытая LED подсветка в нишах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Размеры: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Длина 3800…5250 мм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Высота 700 …1050 мм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Ширина стойки ресепшена 350 мм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Ширина столешницы согласно чертежу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 – фасады МДФ текстурный и матовый, корпус внутри – ЛДСП.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комплект также должны входить распашная секция, столешница с полками, и скрытая LED подсветка в нишах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Цвет материалов – по согласованию с заказчиком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XF5IO+tabjtl7uqcL8aMQYcXw==">CgMxLjA4AHIhMUtjNng2Z0h6NTNpTzZ3Z0pPdnA5RURmVkp6aVo3Vm1z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2025-01-15T05:36:00Z</dcterms:created>
  <dc:creator>Владелец</dc:creator>
</cp:coreProperties>
</file>