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2/ЦП-10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Зонды постановочные, комплект из 7 штук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(по методике Ф.А. Рау)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комплект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Комплект должен состоять из 7 логопедических зондов для постановки звуков: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Зонд Рамка большая (для постановки звука Л)</w:t>
              <w:br w:type="textWrapping"/>
              <w:t xml:space="preserve">Зонд Расческа (для постановки звука Ш)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Зонд Г-образный (для выработки воздушной струи по средней линии языка)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Зонд Рамка маленькая (постановки шипящих)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Зонд Клювик длинный (для постановки свистящих)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Зонд Клювик короткий (для постановки свистящих)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Зонд Шариковый (для постановки звука Р)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Зонды должны быть изготовлены из высококачественной пищевой нержавеющей стали марки 1,6-Х-12Х18Н10Т, диаметром 1,60±0,05 мм.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Длина рукоятки каждого инструмента 130±5мм.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Зонд №7 из комплекта двухсторонний: 1 сторона с нержавеющим шаром диаметром 8±0,01 мм, имеющим ось вращения перпендикулярную оси рукоятки инструмента при механическом воздействии на мышцы языка; 2 сторона с массажером пружинным Су Джок, изготовленным из нержавеющей стальной проволоки марки 12Х18Н10Т диаметром 1,00±0,01 мм.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Зонды должны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выдерживать частую дезинфекцию или стерилизацию. Поверхности должны быть отполированы и не иметь острых кромок.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Шарик должен быть изготовлен из огнеупорного пластика.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fXJAD/GzfHDuX+k5Q5lFL3czg==">CgMxLjA4AHIhMWw1X09HWWlzUlQ3bTFDRExqNkNPeW1TdjQ0d000RkZo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2025-01-14T09:44:00Z</dcterms:created>
  <dc:creator>Владелец</dc:creator>
</cp:coreProperties>
</file>