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2/ЦП-57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Разделитель пространства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Nook – это новое решение «пространство внутри пространства» для работы, учебы и игр, которое может использоваться в офисах, школах.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Nook поставляется в комплекте из 6 фетровых элементов с соединительными деталями 2×20 шт. Высота: 1270 мм/ Диаметр: 1420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3Q0rNHTlcUuDnQ3jN0PweZY5sA==">CgMxLjA4AHIhMXlZdnZmU19PbFV5YUZWajRzZTdUR1ltN09IanFqRUJN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