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2/ЦП-44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Стол детский 2 разм (тип 2)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Стол Summa GA отлично подходит как для индивидуальной, так и для групповой работы. С помощью столов GA можно создавать различные комбинации для групповой работы.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Teamix-столешница GA 60x70 см залитая кромка Teamix столешница GA 60x70 литая кромка: Lam 215 белый, Белый (28). Summa ножка 64 cм с колесиком: Белый (IM-73). Summa T-образная ножка 64 cм: Белый (IM-73)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SQ5BjlecLeGT6UnF8LbG0ktpcQ==">CgMxLjA4AHIhMTBnM3JYVzlKakdqamFwcmVtV0hjREk1UklVaDU5a2JH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