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1/ЦП-63</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настольной панелью</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color w:val="000000"/>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1400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B14, ширина 1400*глубина 600 мм*высота 730мм,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w:t>
                </w:r>
              </w:sdtContent>
            </w:sdt>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zvIAHf+olsYnzYanx8xl6EgZw==">CgMxLjAaJQoBMBIgCh4IB0IaCg9UaW1lcyBOZXcgUm9tYW4SB0d1bmdzdWg4AHIhMWhSTTBIalJDSjVOckpiZ3hNT0JoYlpmZ0psS3RSUUs0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