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Принтер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 HP LaserJet Pro 4003dn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Принтер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HP LaserJet Pro 4003dn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имеет Приложение HP Smart с простой пошаговой процедурой настройки поможет быстро приступить к работе. Интеллектуальная технология HP Auto-On/Auto-Off может включать принтер, когда это необходимо, и выключать его, когда устройство не используется.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 печати: Монохромная   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Разрешение печати: 1200 x 1200 dpi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Форматы печатных носителей: А4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Нестандартные размеры печатных носителей   : Лоток 1: от 76 x 127 до 216 x 356 мм</w:t>
              <w:br w:type="textWrapping"/>
              <w:t xml:space="preserve">Лоток 2, лоток 3: от 104.9 x 148.5 до 216.59 x 356.6 мм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Типы печатных носителей: </w:t>
              <w:br w:type="textWrapping"/>
              <w:t xml:space="preserve">Грубая бумага, Конверты, Обычная бумага, Открытки/ Этикетки, Перфорированная бумага, Плотная бумага, Тонкая/переработанная бумага, Цветная бумага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плотность бумаги, г/м², до:200  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скорость ч/б печати, стр/мин, до: 40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Время выхода первой ч/б страницы, сек: 6,3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Максимальная нагрузка, стр/мес, до; 4 000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Емкость подающего лотка: 100,250 листов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Емкость принимающего лотка: 150 листов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Объем памяти: 256 мб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Дисплей: Двухстрочный графический ЖК-дисплей с подсветкой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Интерфейс подключения: USB Type-B, LAN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 и актов приема-передачи товара (оборудования) потенциального поставщика).</w:t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Авторизационное письмо от производителя оборудования или официального представителя на территории Республики Казахстан, подтверждающее право поставки.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character" w:styleId="a6" w:customStyle="1">
    <w:name w:val="Выделение жирным"/>
    <w:qFormat w:val="1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9">
    <w:name w:val="index heading"/>
    <w:basedOn w:val="a"/>
    <w:qFormat w:val="1"/>
    <w:pPr>
      <w:suppressLineNumbers w:val="1"/>
    </w:pPr>
    <w:rPr>
      <w:rFonts w:cs="Arial"/>
    </w:rPr>
  </w:style>
  <w:style w:type="paragraph" w:styleId="aa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b">
    <w:name w:val="Table Grid"/>
    <w:basedOn w:val="a3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lz2LAD9U7xLxrKLCr5o8Xpm5A==">CgMxLjAyCWlkLmdqZGd4czgAciExbTR1YmlDVGpaVW92T3drQjJZV0RLZTd4eG1md2RoQmM=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2025-01-10T12:11:00Z</dcterms:created>
  <dc:creator>cp</dc:creator>
</cp:coreProperties>
</file>