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650"/>
        <w:tblGridChange w:id="0">
          <w:tblGrid>
            <w:gridCol w:w="2689"/>
            <w:gridCol w:w="6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заказчика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Корпоративный Фонд «Қамқорлық қоры»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/9-КФ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Оснащение 13 центров раннего вмешательства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лота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/ЦП-0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товара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Комплект игрушек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штука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Количество (объем)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Цена за единицу,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Общая сумма,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Техническое описание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Комплект игрушек должен быть представлен качественными функциональными игрушками для разностороннего развития ребенка. </w:t>
            </w:r>
          </w:p>
          <w:p w:rsidR="00000000" w:rsidDel="00000000" w:rsidP="00000000" w:rsidRDefault="00000000" w:rsidRPr="00000000" w14:paraId="00000017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Для детей дошкольного возраста должны быть в комплекте развивающие игрушки и тематические наборы – сортеры, пирамида, музыкальная игрушка, шнуровки и т.д</w:t>
            </w:r>
          </w:p>
          <w:p w:rsidR="00000000" w:rsidDel="00000000" w:rsidP="00000000" w:rsidRDefault="00000000" w:rsidRPr="00000000" w14:paraId="0000001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Игрушки должны способствовать укреплению мелкой моторики, развивать логику, речевую активность, координацию движений, цветовое и слуховое восприятие, воображение, тренировать память. Для детей младшего школьного возраста должны быть игры на развитие элементарных математических представлений, логики.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Техническая характеристика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комплекте не менее 12 игрушек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Изделия отличаются высоким качеством — безопасные, изготовлены из надежных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Руководство пользователя (паспорт) на русском языке 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 течение 60 </w:t>
            </w:r>
            <w:r w:rsidDel="00000000" w:rsidR="00000000" w:rsidRPr="00000000">
              <w:rPr>
                <w:rtl w:val="0"/>
              </w:rPr>
              <w:t xml:space="preserve">календарных</w:t>
            </w:r>
            <w:r w:rsidDel="00000000" w:rsidR="00000000" w:rsidRPr="00000000">
              <w:rPr>
                <w:color w:val="000000"/>
                <w:rtl w:val="0"/>
              </w:rPr>
              <w:t xml:space="preserve"> дней со дня заключения договора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 стоимость включены расходы на транспортировку до места доставки; уплата всех обязательных платежей в соответствии с законодательством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Алматинская область, г.Талдыкорган, улица Ескелди би, 285;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Атырауская область, г.Атырау, микрорайон Алмагул, 25;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ВКО, г.Усть-Каменогорск, ул.Утепова 37;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Жамбылская область, г.Тараз, микрорайон Байтерек, строение 1;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ЗКО, г.Уральск, ул.Ахмирова, 4;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Костанайская область, г.Костанай, ул.Быковского, 4;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Кызылординская область, г.Кызылорда, ул.</w:t>
            </w:r>
            <w:r w:rsidDel="00000000" w:rsidR="00000000" w:rsidRPr="00000000">
              <w:rPr>
                <w:rtl w:val="0"/>
              </w:rPr>
              <w:t xml:space="preserve"> Бокейхана 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Павлодарская область, г.Павлодар, ул.Торайгырова 46;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СКО, г.Петропавловск, ул.Брусиловского, 20;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Туркестанская область, г.Сарыагаш, ул. С. Исмайлов, 115А;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г.Алматы, ул.Басенова, дом 2;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г.Шымкент, А. Диваева, д. 32;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г.Караганда, пр. Шахтеров 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Опыт работы в сфере продаж не менее 2 лет (подтверждается копиями исполненных договоров и </w:t>
            </w:r>
            <w:r w:rsidDel="00000000" w:rsidR="00000000" w:rsidRPr="00000000">
              <w:rPr>
                <w:rtl w:val="0"/>
              </w:rPr>
              <w:t xml:space="preserve">накладных на </w:t>
            </w:r>
            <w:r w:rsidDel="00000000" w:rsidR="00000000" w:rsidRPr="00000000">
              <w:rPr>
                <w:color w:val="000000"/>
                <w:rtl w:val="0"/>
              </w:rPr>
              <w:t xml:space="preserve">това</w:t>
            </w: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 потенциального поставщика).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Сопутствующие услуги/работы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Гарантийное техническое обслуживание и бесплатный ремонт в течение 12 месяцев </w:t>
            </w:r>
          </w:p>
        </w:tc>
      </w:tr>
    </w:tbl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A03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unhideWhenUsed w:val="1"/>
    <w:rsid w:val="001A03AB"/>
    <w:pPr>
      <w:spacing w:after="100" w:afterAutospacing="1" w:before="100" w:beforeAutospacing="1"/>
    </w:pPr>
  </w:style>
  <w:style w:type="character" w:styleId="cs-captiontitle" w:customStyle="1">
    <w:name w:val="cs-caption__title"/>
    <w:basedOn w:val="a0"/>
    <w:rsid w:val="002B1FC6"/>
  </w:style>
  <w:style w:type="paragraph" w:styleId="a5">
    <w:name w:val="List Paragraph"/>
    <w:basedOn w:val="a"/>
    <w:uiPriority w:val="34"/>
    <w:qFormat w:val="1"/>
    <w:rsid w:val="002B1FC6"/>
    <w:pPr>
      <w:ind w:left="720"/>
      <w:contextualSpacing w:val="1"/>
    </w:pPr>
  </w:style>
  <w:style w:type="character" w:styleId="a6">
    <w:name w:val="Strong"/>
    <w:basedOn w:val="a0"/>
    <w:uiPriority w:val="22"/>
    <w:qFormat w:val="1"/>
    <w:rsid w:val="005813AF"/>
    <w:rPr>
      <w:b w:val="1"/>
      <w:bCs w:val="1"/>
    </w:rPr>
  </w:style>
  <w:style w:type="character" w:styleId="s0" w:customStyle="1">
    <w:name w:val="s0"/>
    <w:rsid w:val="005813AF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eHLFsoUZMWeCod+0a1AF8Icrw==">CgMxLjA4AHIhMWN6d2lZdXliNWlLVjU5NV9ZQ2M3NDdHSUNkZU5Ua1Rr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2021-06-22T05:08:00Z</dcterms:created>
  <dc:creator>Пользователь Microsoft Office</dc:creator>
</cp:coreProperties>
</file>