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650"/>
        <w:tblGridChange w:id="0">
          <w:tblGrid>
            <w:gridCol w:w="2689"/>
            <w:gridCol w:w="6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заказчика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Корпоративный Фонд «Қамқорлық қоры»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Номер закупки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/9-КФ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закупки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Оснащение 13 центров раннего вмешательства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Номер лота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/ЦП-01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товара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Комплект настольных игр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Единица измерения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штука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Количество (объем)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Цена за единицу, с учетом НДС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Общая сумма, с учетом НДС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Техническое описание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Настольные игры для детей  должны представлять собой дидактические развивающие игры и пособия, главным достоинством которых является возможность в процессе взаимодействия развивать мышление, речь, пространственную ориентировку, внимание и другие психические процессы.</w:t>
            </w:r>
          </w:p>
          <w:p w:rsidR="00000000" w:rsidDel="00000000" w:rsidP="00000000" w:rsidRDefault="00000000" w:rsidRPr="00000000" w14:paraId="00000017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Игры должны учить ребенка составлять целое из нескольких частей, называть знакомые предметы, шнуровать. В результате у ребенка должно стимулироваться развитие речи, логического мышления, улучшиться восприятие формы и цвета, пополнится запас активных слов и выражений.</w:t>
            </w:r>
          </w:p>
          <w:p w:rsidR="00000000" w:rsidDel="00000000" w:rsidP="00000000" w:rsidRDefault="00000000" w:rsidRPr="00000000" w14:paraId="00000018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Техническая характеристика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 комплекте не менее 6 игр.</w:t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Изделия отличаются высоким качеством — безопасные, изготовлены из надежных и устойчивых материалов, сопровождаются обучающими инструкциями и разработаны в соответствии с европейскими и американскими нормами безопасности.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Руководство пользователя (паспорт) на русском языке (при наличии)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В течение 60 календарных дней со дня заключения договора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В стоимость включены расходы на транспортировку до места доставки; уплата всех обязательных платежей в соответствии с законодательством РК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Алматинская область, г.Талдыкорган, улица Ескелди би, 285;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Атырауская область, г.Атырау, микрорайон Алмагул, 25;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ВКО, г.Усть-Каменогорск, ул.Утепова 37;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Жамбылская область, г.Тараз, микрорайон Байтерек, строение 1;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ЗКО, г.Уральск, ул.Ахмирова, 4;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Костанайская область, г.Костанай, ул.Быковского, 4;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Кызылординская область, г.Кызылорда, ул.</w:t>
            </w:r>
            <w:r w:rsidDel="00000000" w:rsidR="00000000" w:rsidRPr="00000000">
              <w:rPr>
                <w:rtl w:val="0"/>
              </w:rPr>
              <w:t xml:space="preserve"> Бокейхана 60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Павлодарская область, г.Павлодар, ул.Торайгырова 46;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СКО, г.Петропавловск, ул.Брусиловского, 20;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Туркестанская область, г.Сарыагаш, ул. С. Исмайлов, 115А;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г.Алматы, ул.Басенова, дом 2;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г.Шымкент, А. Диваева, д. 32;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г.Караганда, пр. Шахтеров 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Опыт работы в сфере продаж не менее 2 лет (подтверждается копиями исполненных договоров и </w:t>
            </w:r>
            <w:r w:rsidDel="00000000" w:rsidR="00000000" w:rsidRPr="00000000">
              <w:rPr>
                <w:rtl w:val="0"/>
              </w:rPr>
              <w:t xml:space="preserve">накладных на </w:t>
            </w:r>
            <w:r w:rsidDel="00000000" w:rsidR="00000000" w:rsidRPr="00000000">
              <w:rPr>
                <w:color w:val="000000"/>
                <w:rtl w:val="0"/>
              </w:rPr>
              <w:t xml:space="preserve">това</w:t>
            </w:r>
            <w:r w:rsidDel="00000000" w:rsidR="00000000" w:rsidRPr="00000000">
              <w:rPr>
                <w:rtl w:val="0"/>
              </w:rPr>
              <w:t xml:space="preserve">р</w:t>
            </w:r>
            <w:r w:rsidDel="00000000" w:rsidR="00000000" w:rsidRPr="00000000">
              <w:rPr>
                <w:color w:val="000000"/>
                <w:rtl w:val="0"/>
              </w:rPr>
              <w:t xml:space="preserve"> потенциального поставщика).</w:t>
            </w:r>
          </w:p>
        </w:tc>
      </w:tr>
      <w:tr>
        <w:trPr>
          <w:cantSplit w:val="0"/>
          <w:trHeight w:val="60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Сопутствующие услуги/работы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Гарантийное техническое обслуживание и бесплатный ремонт в течение 12 месяцев </w:t>
            </w:r>
          </w:p>
        </w:tc>
      </w:tr>
    </w:tbl>
    <w:p w:rsidR="00000000" w:rsidDel="00000000" w:rsidP="00000000" w:rsidRDefault="00000000" w:rsidRPr="00000000" w14:paraId="0000003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1A03A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unhideWhenUsed w:val="1"/>
    <w:rsid w:val="001A03AB"/>
    <w:pPr>
      <w:spacing w:after="100" w:afterAutospacing="1" w:before="100" w:beforeAutospacing="1"/>
    </w:pPr>
  </w:style>
  <w:style w:type="character" w:styleId="cs-captiontitle" w:customStyle="1">
    <w:name w:val="cs-caption__title"/>
    <w:basedOn w:val="a0"/>
    <w:rsid w:val="002B1FC6"/>
  </w:style>
  <w:style w:type="paragraph" w:styleId="a5">
    <w:name w:val="List Paragraph"/>
    <w:basedOn w:val="a"/>
    <w:uiPriority w:val="34"/>
    <w:qFormat w:val="1"/>
    <w:rsid w:val="002B1FC6"/>
    <w:pPr>
      <w:ind w:left="720"/>
      <w:contextualSpacing w:val="1"/>
    </w:pPr>
  </w:style>
  <w:style w:type="character" w:styleId="a6">
    <w:name w:val="Strong"/>
    <w:basedOn w:val="a0"/>
    <w:uiPriority w:val="22"/>
    <w:qFormat w:val="1"/>
    <w:rsid w:val="005813AF"/>
    <w:rPr>
      <w:b w:val="1"/>
      <w:bCs w:val="1"/>
    </w:rPr>
  </w:style>
  <w:style w:type="character" w:styleId="s0" w:customStyle="1">
    <w:name w:val="s0"/>
    <w:rsid w:val="005813AF"/>
    <w:rPr>
      <w:rFonts w:ascii="Times New Roman" w:cs="Times New Roman" w:hAnsi="Times New Roman" w:hint="default"/>
      <w:b w:val="0"/>
      <w:bCs w:val="0"/>
      <w:i w:val="0"/>
      <w:iCs w:val="0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M1He1ce973lo+j7NcCUGHpbWA==">CgMxLjA4AHIhMUVWTUx2V0t3R0RPX010VjE5TF9ZeVNKQlFSdE56NTlm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2021-06-22T05:08:00Z</dcterms:created>
  <dc:creator>Пользователь Microsoft Office</dc:creator>
</cp:coreProperties>
</file>