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10/ЦП-05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Система хранения одежды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Ячейка гардеробная для хранения одежды. 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Ячейка гардеробная. Каждая ячейка должна иметь якорный крючок или штангу, полку для обуви, замок электронный, ручку. Материал ЛДСП. Размещение наклейки на шкафу в соответствии с согласованием с Заказчиком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2bjy2wmda5q3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Размеры ячейки: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- 40 см;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Глубина - 60 см;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Высота - 92,5 см.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наличии), 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mXGENCR/hT1g823FJImzeNrEg==">CgMxLjAyDmguMmJqeTJ3bWRhNXEzOAByITFrM3RSQnMwdWFwalNPb1JiVXMzVlVvekViNWRNaVhBbg==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2025-01-15T05:49:00Z</dcterms:created>
  <dc:creator>Владелец</dc:creator>
</cp:coreProperties>
</file>