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939F2" w:rsidRPr="00A0364F" w14:paraId="5A73B5FD" w14:textId="77777777" w:rsidTr="00037337">
        <w:tc>
          <w:tcPr>
            <w:tcW w:w="2460" w:type="dxa"/>
          </w:tcPr>
          <w:p w14:paraId="02F695F5" w14:textId="71657351" w:rsidR="00B939F2" w:rsidRPr="007759C2" w:rsidRDefault="00B0724C" w:rsidP="00037337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48E37E5E" w14:textId="03120666" w:rsidR="00B939F2" w:rsidRPr="00A0364F" w:rsidRDefault="00B0724C" w:rsidP="00037337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«Қамқорлық қоры»</w:t>
            </w:r>
          </w:p>
        </w:tc>
      </w:tr>
      <w:tr w:rsidR="00B0724C" w:rsidRPr="00A0364F" w14:paraId="3930C8D2" w14:textId="77777777" w:rsidTr="00037337">
        <w:tc>
          <w:tcPr>
            <w:tcW w:w="2460" w:type="dxa"/>
          </w:tcPr>
          <w:p w14:paraId="7A374548" w14:textId="106D759A" w:rsidR="00B0724C" w:rsidRPr="007759C2" w:rsidRDefault="00B0724C" w:rsidP="00037337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3569DC2F" w14:textId="69C526E9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12/11-КФ</w:t>
            </w:r>
          </w:p>
        </w:tc>
      </w:tr>
      <w:tr w:rsidR="00B0724C" w:rsidRPr="00A0364F" w14:paraId="7ECD7C77" w14:textId="77777777" w:rsidTr="00037337">
        <w:tc>
          <w:tcPr>
            <w:tcW w:w="2460" w:type="dxa"/>
          </w:tcPr>
          <w:p w14:paraId="1631C8BE" w14:textId="43C03AB3" w:rsidR="00B0724C" w:rsidRPr="007759C2" w:rsidRDefault="00B0724C" w:rsidP="00037337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0EEEEB81" w14:textId="67E13FC9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B0724C" w:rsidRPr="00A0364F" w14:paraId="2476F74B" w14:textId="77777777" w:rsidTr="00037337">
        <w:tc>
          <w:tcPr>
            <w:tcW w:w="2460" w:type="dxa"/>
          </w:tcPr>
          <w:p w14:paraId="51F6CC02" w14:textId="5C044A45" w:rsidR="00B0724C" w:rsidRPr="007759C2" w:rsidRDefault="00B0724C" w:rsidP="00037337">
            <w:r w:rsidRPr="007759C2">
              <w:t>Номер лота</w:t>
            </w:r>
          </w:p>
        </w:tc>
        <w:tc>
          <w:tcPr>
            <w:tcW w:w="7429" w:type="dxa"/>
          </w:tcPr>
          <w:p w14:paraId="03FD38C1" w14:textId="5109B5BE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12/ЦП-0</w:t>
            </w:r>
            <w:r w:rsidR="006E505B">
              <w:rPr>
                <w:rFonts w:eastAsia="Calibri"/>
                <w:b/>
                <w:bCs/>
                <w:color w:val="000000"/>
              </w:rPr>
              <w:t>1</w:t>
            </w:r>
          </w:p>
        </w:tc>
      </w:tr>
      <w:tr w:rsidR="00B939F2" w:rsidRPr="007759C2" w14:paraId="1A956DFA" w14:textId="77777777" w:rsidTr="00037337">
        <w:tc>
          <w:tcPr>
            <w:tcW w:w="2460" w:type="dxa"/>
          </w:tcPr>
          <w:p w14:paraId="24199396" w14:textId="77777777" w:rsidR="00B939F2" w:rsidRPr="007759C2" w:rsidRDefault="00B939F2" w:rsidP="00037337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043FB1D2" w14:textId="77777777" w:rsidR="00B939F2" w:rsidRPr="007759C2" w:rsidRDefault="00B939F2" w:rsidP="00037337">
            <w:pPr>
              <w:contextualSpacing/>
            </w:pPr>
            <w:r>
              <w:rPr>
                <w:b/>
                <w:bCs/>
              </w:rPr>
              <w:t>Игрушки</w:t>
            </w:r>
          </w:p>
        </w:tc>
      </w:tr>
      <w:tr w:rsidR="00B939F2" w:rsidRPr="007759C2" w14:paraId="00109A4F" w14:textId="77777777" w:rsidTr="00037337">
        <w:tc>
          <w:tcPr>
            <w:tcW w:w="2460" w:type="dxa"/>
          </w:tcPr>
          <w:p w14:paraId="71A8DB7F" w14:textId="77777777" w:rsidR="00B939F2" w:rsidRPr="007759C2" w:rsidRDefault="00B939F2" w:rsidP="00037337">
            <w:r w:rsidRPr="007759C2">
              <w:t>Единица измерения</w:t>
            </w:r>
          </w:p>
        </w:tc>
        <w:tc>
          <w:tcPr>
            <w:tcW w:w="7429" w:type="dxa"/>
          </w:tcPr>
          <w:p w14:paraId="75F98282" w14:textId="77777777" w:rsidR="00B939F2" w:rsidRPr="007759C2" w:rsidRDefault="00B939F2" w:rsidP="00037337">
            <w:pPr>
              <w:contextualSpacing/>
            </w:pPr>
            <w:r>
              <w:t>комплект</w:t>
            </w:r>
          </w:p>
        </w:tc>
      </w:tr>
      <w:tr w:rsidR="00B939F2" w:rsidRPr="00E12550" w14:paraId="5A45C4E4" w14:textId="77777777" w:rsidTr="00037337">
        <w:tc>
          <w:tcPr>
            <w:tcW w:w="2460" w:type="dxa"/>
          </w:tcPr>
          <w:p w14:paraId="17FC7D87" w14:textId="77777777" w:rsidR="00B939F2" w:rsidRPr="007759C2" w:rsidRDefault="00B939F2" w:rsidP="00037337">
            <w:r w:rsidRPr="007759C2">
              <w:t>Количество (объем)</w:t>
            </w:r>
          </w:p>
        </w:tc>
        <w:tc>
          <w:tcPr>
            <w:tcW w:w="7429" w:type="dxa"/>
          </w:tcPr>
          <w:p w14:paraId="4C6859B1" w14:textId="7DC1AF5B" w:rsidR="00B939F2" w:rsidRPr="00E12550" w:rsidRDefault="00B939F2" w:rsidP="0003733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939F2" w:rsidRPr="0052267B" w14:paraId="45952976" w14:textId="77777777" w:rsidTr="00037337">
        <w:tc>
          <w:tcPr>
            <w:tcW w:w="2460" w:type="dxa"/>
          </w:tcPr>
          <w:p w14:paraId="419F548A" w14:textId="77777777" w:rsidR="00B939F2" w:rsidRPr="007759C2" w:rsidRDefault="00B939F2" w:rsidP="00037337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187B19B0" w14:textId="24693B19" w:rsidR="00B939F2" w:rsidRPr="0052267B" w:rsidRDefault="00B939F2" w:rsidP="00037337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B939F2" w:rsidRPr="0052267B" w14:paraId="2F343883" w14:textId="77777777" w:rsidTr="00037337">
        <w:tc>
          <w:tcPr>
            <w:tcW w:w="2460" w:type="dxa"/>
          </w:tcPr>
          <w:p w14:paraId="06647A5F" w14:textId="77777777" w:rsidR="00B939F2" w:rsidRPr="007759C2" w:rsidRDefault="00B939F2" w:rsidP="00037337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57B75492" w14:textId="6C877A3C" w:rsidR="00B939F2" w:rsidRPr="0023178B" w:rsidRDefault="00B939F2" w:rsidP="00037337">
            <w:pPr>
              <w:contextualSpacing/>
              <w:rPr>
                <w:highlight w:val="yellow"/>
              </w:rPr>
            </w:pPr>
          </w:p>
        </w:tc>
      </w:tr>
      <w:tr w:rsidR="00B939F2" w:rsidRPr="0052267B" w14:paraId="5A6E9CC2" w14:textId="77777777" w:rsidTr="00037337">
        <w:tc>
          <w:tcPr>
            <w:tcW w:w="2460" w:type="dxa"/>
          </w:tcPr>
          <w:p w14:paraId="0168BA68" w14:textId="77777777" w:rsidR="00B939F2" w:rsidRPr="007759C2" w:rsidRDefault="00B939F2" w:rsidP="00037337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29C3DFD4" w14:textId="1E324A76" w:rsidR="00B939F2" w:rsidRPr="0052267B" w:rsidRDefault="00B939F2" w:rsidP="00037337">
            <w:pPr>
              <w:widowControl/>
              <w:suppressAutoHyphens w:val="0"/>
              <w:ind w:right="300"/>
              <w:contextualSpacing/>
              <w:jc w:val="both"/>
              <w:rPr>
                <w:rFonts w:eastAsia="Times New Roman"/>
                <w:spacing w:val="3"/>
              </w:rPr>
            </w:pPr>
            <w:r>
              <w:rPr>
                <w:shd w:val="clear" w:color="auto" w:fill="FFFFFF"/>
              </w:rPr>
              <w:t>Комплект и</w:t>
            </w:r>
            <w:r w:rsidRPr="00F649FA">
              <w:rPr>
                <w:shd w:val="clear" w:color="auto" w:fill="FFFFFF"/>
              </w:rPr>
              <w:t>груш</w:t>
            </w:r>
            <w:r>
              <w:rPr>
                <w:shd w:val="clear" w:color="auto" w:fill="FFFFFF"/>
              </w:rPr>
              <w:t>ек</w:t>
            </w:r>
            <w:r>
              <w:t xml:space="preserve"> </w:t>
            </w:r>
            <w:r w:rsidRPr="008F5EE8">
              <w:rPr>
                <w:shd w:val="clear" w:color="auto" w:fill="FFFFFF"/>
              </w:rPr>
              <w:t>для кабинета психолога</w:t>
            </w:r>
            <w:r>
              <w:rPr>
                <w:shd w:val="clear" w:color="auto" w:fill="FFFFFF"/>
              </w:rPr>
              <w:t xml:space="preserve"> должен быть представлен </w:t>
            </w:r>
            <w:r w:rsidRPr="00F649FA">
              <w:rPr>
                <w:shd w:val="clear" w:color="auto" w:fill="FFFFFF"/>
              </w:rPr>
              <w:t>качественным</w:t>
            </w:r>
            <w:r>
              <w:rPr>
                <w:shd w:val="clear" w:color="auto" w:fill="FFFFFF"/>
              </w:rPr>
              <w:t>и</w:t>
            </w:r>
            <w:r w:rsidRPr="00F649FA">
              <w:rPr>
                <w:shd w:val="clear" w:color="auto" w:fill="FFFFFF"/>
              </w:rPr>
              <w:t xml:space="preserve"> функциональны</w:t>
            </w:r>
            <w:r>
              <w:rPr>
                <w:shd w:val="clear" w:color="auto" w:fill="FFFFFF"/>
              </w:rPr>
              <w:t>ми</w:t>
            </w:r>
            <w:r w:rsidRPr="00F649FA">
              <w:rPr>
                <w:shd w:val="clear" w:color="auto" w:fill="FFFFFF"/>
              </w:rPr>
              <w:t xml:space="preserve"> игрушк</w:t>
            </w:r>
            <w:r>
              <w:rPr>
                <w:shd w:val="clear" w:color="auto" w:fill="FFFFFF"/>
              </w:rPr>
              <w:t>ами</w:t>
            </w:r>
            <w:r w:rsidRPr="00F649FA">
              <w:rPr>
                <w:shd w:val="clear" w:color="auto" w:fill="FFFFFF"/>
              </w:rPr>
              <w:t xml:space="preserve"> для разностороннего развития ребенка.</w:t>
            </w:r>
            <w:r>
              <w:rPr>
                <w:shd w:val="clear" w:color="auto" w:fill="FFFFFF"/>
              </w:rPr>
              <w:t xml:space="preserve"> </w:t>
            </w:r>
            <w:r w:rsidR="004F43B0">
              <w:rPr>
                <w:shd w:val="clear" w:color="auto" w:fill="FFFFFF"/>
              </w:rPr>
              <w:t>Они могут включать развивающие игрушки, для сенсорного и когнитивного развития, а также материалы для развития моторики, настольные игры.</w:t>
            </w:r>
          </w:p>
        </w:tc>
      </w:tr>
      <w:tr w:rsidR="00B939F2" w:rsidRPr="007759C2" w14:paraId="205B71F7" w14:textId="77777777" w:rsidTr="00037337">
        <w:tc>
          <w:tcPr>
            <w:tcW w:w="2460" w:type="dxa"/>
          </w:tcPr>
          <w:p w14:paraId="6080B486" w14:textId="77777777" w:rsidR="00B939F2" w:rsidRPr="007759C2" w:rsidRDefault="00B939F2" w:rsidP="00037337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4EADD080" w14:textId="69266BF2" w:rsidR="001A3AF0" w:rsidRPr="004F43B0" w:rsidRDefault="001A3AF0" w:rsidP="001A3AF0">
            <w:pPr>
              <w:pStyle w:val="ac"/>
              <w:spacing w:before="0" w:beforeAutospacing="0" w:after="0" w:afterAutospacing="0"/>
              <w:contextualSpacing/>
            </w:pPr>
            <w:r>
              <w:t>В комплекте не менее</w:t>
            </w:r>
            <w:r w:rsidR="004F43B0" w:rsidRPr="004F43B0">
              <w:t xml:space="preserve"> 15</w:t>
            </w:r>
            <w:r w:rsidR="004F43B0">
              <w:t xml:space="preserve"> игрушек</w:t>
            </w:r>
          </w:p>
          <w:p w14:paraId="0A2AA07C" w14:textId="7D24A4C6" w:rsidR="00B939F2" w:rsidRPr="007759C2" w:rsidRDefault="001A3AF0" w:rsidP="001A3AF0">
            <w:pPr>
              <w:contextualSpacing/>
            </w:pPr>
            <w:r>
              <w:t xml:space="preserve"> </w:t>
            </w:r>
            <w:r w:rsidRPr="00426AC6">
              <w:t>Изделия отличаются высоким качеством — безопасные, изготовлены из надёжных и устойчивых материалов, сопровождаются обучающими инструкциями и разработаны в соответствии с европейскими и американскими нормами безопасности.</w:t>
            </w:r>
            <w:r w:rsidR="00B939F2" w:rsidRPr="006D18CA">
              <w:rPr>
                <w:sz w:val="20"/>
                <w:szCs w:val="20"/>
              </w:rPr>
              <w:t xml:space="preserve">                                     </w:t>
            </w:r>
          </w:p>
        </w:tc>
      </w:tr>
      <w:tr w:rsidR="00B939F2" w:rsidRPr="007759C2" w14:paraId="78EF6E75" w14:textId="77777777" w:rsidTr="00037337">
        <w:tc>
          <w:tcPr>
            <w:tcW w:w="2460" w:type="dxa"/>
          </w:tcPr>
          <w:p w14:paraId="6F2FDE0E" w14:textId="18A5F560" w:rsidR="00B939F2" w:rsidRPr="007759C2" w:rsidRDefault="00B0724C" w:rsidP="00037337">
            <w:r>
              <w:rPr>
                <w:rFonts w:eastAsia="Times New Roman"/>
              </w:rPr>
              <w:t>Требования к поставщику</w:t>
            </w:r>
          </w:p>
        </w:tc>
        <w:tc>
          <w:tcPr>
            <w:tcW w:w="7429" w:type="dxa"/>
          </w:tcPr>
          <w:p w14:paraId="6FA06FD7" w14:textId="3AC77ECF" w:rsidR="00B939F2" w:rsidRPr="007759C2" w:rsidRDefault="00B0724C" w:rsidP="00037337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B939F2" w:rsidRPr="007759C2" w14:paraId="4C30E698" w14:textId="77777777" w:rsidTr="00037337">
        <w:tc>
          <w:tcPr>
            <w:tcW w:w="2460" w:type="dxa"/>
          </w:tcPr>
          <w:p w14:paraId="0FD29A08" w14:textId="1782C03F" w:rsidR="00B939F2" w:rsidRPr="0024606B" w:rsidRDefault="00B939F2" w:rsidP="00037337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7CA1219A" w14:textId="77777777" w:rsidR="00B939F2" w:rsidRPr="00A42040" w:rsidRDefault="00B939F2" w:rsidP="00B939F2">
            <w:pPr>
              <w:widowControl/>
              <w:numPr>
                <w:ilvl w:val="0"/>
                <w:numId w:val="3"/>
              </w:numPr>
              <w:suppressAutoHyphens w:val="0"/>
            </w:pPr>
            <w:r w:rsidRPr="00A42040">
              <w:t>Туркестанская область, г.Туркестан, улица Бекзата Саттарханова 31.</w:t>
            </w:r>
          </w:p>
          <w:p w14:paraId="4C9303CF" w14:textId="77777777" w:rsidR="00B939F2" w:rsidRPr="00A42040" w:rsidRDefault="00B939F2" w:rsidP="00B939F2"/>
          <w:p w14:paraId="1D6BD0AB" w14:textId="4AB30A37" w:rsidR="00B939F2" w:rsidRPr="00A42040" w:rsidRDefault="00B939F2" w:rsidP="00B939F2">
            <w:pPr>
              <w:pStyle w:val="a7"/>
              <w:numPr>
                <w:ilvl w:val="0"/>
                <w:numId w:val="3"/>
              </w:numPr>
            </w:pPr>
            <w:r w:rsidRPr="00A42040">
              <w:t>Карагандинская область, г.Караганда, улица Ермекова, 93.</w:t>
            </w:r>
          </w:p>
        </w:tc>
      </w:tr>
      <w:tr w:rsidR="00B939F2" w:rsidRPr="007759C2" w14:paraId="28BB79E9" w14:textId="77777777" w:rsidTr="00037337">
        <w:tc>
          <w:tcPr>
            <w:tcW w:w="2460" w:type="dxa"/>
          </w:tcPr>
          <w:p w14:paraId="4BF8BDB3" w14:textId="124782B1" w:rsidR="00B939F2" w:rsidRPr="0024606B" w:rsidRDefault="00B939F2" w:rsidP="00037337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2092545F" w14:textId="08CC7AF6" w:rsidR="00B939F2" w:rsidRPr="00A42040" w:rsidRDefault="00B939F2" w:rsidP="00037337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4FEA93EC" w14:textId="77777777" w:rsidR="00B24CE6" w:rsidRDefault="00B24CE6"/>
    <w:sectPr w:rsidR="00B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884"/>
    <w:multiLevelType w:val="hybridMultilevel"/>
    <w:tmpl w:val="D95C2994"/>
    <w:lvl w:ilvl="0" w:tplc="46E6675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73C80929"/>
    <w:multiLevelType w:val="hybridMultilevel"/>
    <w:tmpl w:val="4CE0A5B8"/>
    <w:lvl w:ilvl="0" w:tplc="D01E8420">
      <w:start w:val="6"/>
      <w:numFmt w:val="decimal"/>
      <w:lvlText w:val="%1)"/>
      <w:lvlJc w:val="left"/>
      <w:pPr>
        <w:ind w:left="4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53935785">
    <w:abstractNumId w:val="0"/>
  </w:num>
  <w:num w:numId="2" w16cid:durableId="2056270280">
    <w:abstractNumId w:val="2"/>
  </w:num>
  <w:num w:numId="3" w16cid:durableId="106746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D2"/>
    <w:rsid w:val="0005478A"/>
    <w:rsid w:val="001A3AF0"/>
    <w:rsid w:val="00203290"/>
    <w:rsid w:val="0023178B"/>
    <w:rsid w:val="00376717"/>
    <w:rsid w:val="00383FD2"/>
    <w:rsid w:val="004844A8"/>
    <w:rsid w:val="004F43B0"/>
    <w:rsid w:val="006E505B"/>
    <w:rsid w:val="00746213"/>
    <w:rsid w:val="0079164C"/>
    <w:rsid w:val="00854606"/>
    <w:rsid w:val="00A42040"/>
    <w:rsid w:val="00B0724C"/>
    <w:rsid w:val="00B24CE6"/>
    <w:rsid w:val="00B939F2"/>
    <w:rsid w:val="00BB043B"/>
    <w:rsid w:val="00E5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0E"/>
  <w15:chartTrackingRefBased/>
  <w15:docId w15:val="{F7858A3B-E5D6-495E-99BF-77BD495A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B939F2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939F2"/>
    <w:pPr>
      <w:suppressAutoHyphens w:val="0"/>
      <w:autoSpaceDE w:val="0"/>
      <w:autoSpaceDN w:val="0"/>
      <w:spacing w:line="223" w:lineRule="exact"/>
      <w:ind w:left="107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 Tulegenov</dc:creator>
  <cp:keywords/>
  <dc:description/>
  <cp:lastModifiedBy>Abat Tulegenov</cp:lastModifiedBy>
  <cp:revision>8</cp:revision>
  <dcterms:created xsi:type="dcterms:W3CDTF">2025-11-21T09:24:00Z</dcterms:created>
  <dcterms:modified xsi:type="dcterms:W3CDTF">2025-11-24T05:20:00Z</dcterms:modified>
</cp:coreProperties>
</file>